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30.11.2020 N 504-пп</w:t>
              <w:br/>
              <w:t xml:space="preserve">(ред. от 06.06.2022)</w:t>
              <w:br/>
              <w:t xml:space="preserve">"Об утверждении Правил предоставления иных межбюджетных трансфертов из областного бюджета бюджетам муниципальных образований Белгородской области в целях внедрения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 методики их распределения"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30 ноября 2020 г. N 504-пп</w:t>
      </w:r>
    </w:p>
    <w:p>
      <w:pPr>
        <w:pStyle w:val="2"/>
        <w:jc w:val="center"/>
      </w:pPr>
      <w:r>
        <w:rPr>
          <w:sz w:val="20"/>
        </w:rPr>
      </w:r>
    </w:p>
    <w:p>
      <w:pPr>
        <w:pStyle w:val="2"/>
        <w:jc w:val="center"/>
      </w:pPr>
      <w:r>
        <w:rPr>
          <w:sz w:val="20"/>
        </w:rPr>
        <w:t xml:space="preserve">ОБ УТВЕРЖДЕНИИ ПРАВИЛ ПРЕДОСТАВЛЕНИЯ ИНЫХ МЕЖБЮДЖЕТНЫХ</w:t>
      </w:r>
    </w:p>
    <w:p>
      <w:pPr>
        <w:pStyle w:val="2"/>
        <w:jc w:val="center"/>
      </w:pPr>
      <w:r>
        <w:rPr>
          <w:sz w:val="20"/>
        </w:rPr>
        <w:t xml:space="preserve">ТРАНСФЕРТОВ ИЗ ОБЛАСТНОГО БЮДЖЕТА БЮДЖЕТАМ МУНИЦИПАЛЬНЫХ</w:t>
      </w:r>
    </w:p>
    <w:p>
      <w:pPr>
        <w:pStyle w:val="2"/>
        <w:jc w:val="center"/>
      </w:pPr>
      <w:r>
        <w:rPr>
          <w:sz w:val="20"/>
        </w:rPr>
        <w:t xml:space="preserve">ОБРАЗОВАНИЙ БЕЛГОРОДСКОЙ ОБЛАСТИ В ЦЕЛЯХ ВНЕДРЕНИЯ</w:t>
      </w:r>
    </w:p>
    <w:p>
      <w:pPr>
        <w:pStyle w:val="2"/>
        <w:jc w:val="center"/>
      </w:pPr>
      <w:r>
        <w:rPr>
          <w:sz w:val="20"/>
        </w:rPr>
        <w:t xml:space="preserve">ИНТЕЛЛЕКТУАЛЬНЫХ ТРАНСПОРТНЫХ СИСТЕМ, ПРЕДУСМАТРИВАЮЩИХ</w:t>
      </w:r>
    </w:p>
    <w:p>
      <w:pPr>
        <w:pStyle w:val="2"/>
        <w:jc w:val="center"/>
      </w:pPr>
      <w:r>
        <w:rPr>
          <w:sz w:val="20"/>
        </w:rPr>
        <w:t xml:space="preserve">АВТОМАТИЗАЦИЮ ПРОЦЕССОВ УПРАВЛЕНИЯ ДОРОЖНЫМ ДВИЖЕНИЕМ</w:t>
      </w:r>
    </w:p>
    <w:p>
      <w:pPr>
        <w:pStyle w:val="2"/>
        <w:jc w:val="center"/>
      </w:pPr>
      <w:r>
        <w:rPr>
          <w:sz w:val="20"/>
        </w:rPr>
        <w:t xml:space="preserve">В ГОРОДСКИХ АГЛОМЕРАЦИЯХ, ВКЛЮЧАЮЩИХ ГОРОДА С НАСЕЛЕНИЕМ</w:t>
      </w:r>
    </w:p>
    <w:p>
      <w:pPr>
        <w:pStyle w:val="2"/>
        <w:jc w:val="center"/>
      </w:pPr>
      <w:r>
        <w:rPr>
          <w:sz w:val="20"/>
        </w:rPr>
        <w:t xml:space="preserve">СВЫШЕ 300 ТЫСЯЧ ЧЕЛОВЕК, И МЕТОДИКИ ИХ РАСПРЕДЕЛЕНИЯ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06.06.2022 N 333-пп)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со </w:t>
      </w:r>
      <w:hyperlink w:history="0" r:id="rId8" w:tooltip="&quot;Бюджетный кодекс Российской Федерации&quot; от 31.07.1998 N 145-ФЗ (ред. от 14.04.2023) {КонсультантПлюс}">
        <w:r>
          <w:rPr>
            <w:sz w:val="20"/>
            <w:color w:val="0000ff"/>
          </w:rPr>
          <w:t xml:space="preserve">статьей 139.1</w:t>
        </w:r>
      </w:hyperlink>
      <w:r>
        <w:rPr>
          <w:sz w:val="20"/>
        </w:rPr>
        <w:t xml:space="preserve"> Бюджетного кодекса Российской Федерации, во исполнение </w:t>
      </w:r>
      <w:hyperlink w:history="0" r:id="rId9" w:tooltip="Постановление Правительства РФ от 27.02.2019 N 193 (ред. от 24.12.2021) &quot;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дорожной деятельности в рамках реализации национального проекта &quot;Безопасные качественные дороги&quot; {КонсультантПлюс}">
        <w:r>
          <w:rPr>
            <w:sz w:val="20"/>
            <w:color w:val="0000ff"/>
          </w:rPr>
          <w:t xml:space="preserve">постановления</w:t>
        </w:r>
      </w:hyperlink>
      <w:r>
        <w:rPr>
          <w:sz w:val="20"/>
        </w:rPr>
        <w:t xml:space="preserve"> Правительства Российской Федерации от 27 февраля 2019 года N 193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дорожной деятельности в рамках реализации национального проекта "Безопасные качественные дороги" и в соответствии с </w:t>
      </w:r>
      <w:hyperlink w:history="0" r:id="rId10" w:tooltip="Постановление правительства Белгородской обл. от 06.02.2012 N 62-пп (ред. от 31.01.2022) &quot;Об утверждении Порядка формирования, учета и расходования средств дорожного фонд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6 февраля 2012 года N 62-пп "Об утверждении Порядка формирования, учета и расходования средств дорожного фонда Белгородской области" Правительство Белгородской области постановляет:</w:t>
      </w:r>
    </w:p>
    <w:p>
      <w:pPr>
        <w:pStyle w:val="0"/>
        <w:jc w:val="both"/>
      </w:pPr>
      <w:r>
        <w:rPr>
          <w:sz w:val="20"/>
        </w:rPr>
        <w:t xml:space="preserve">(в ред. </w:t>
      </w:r>
      <w:hyperlink w:history="0" r:id="rId11"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rPr>
        <w:t xml:space="preserve"> Правительства Белгородской области от 06.06.2022 N 333-пп)</w:t>
      </w:r>
    </w:p>
    <w:p>
      <w:pPr>
        <w:pStyle w:val="0"/>
        <w:jc w:val="both"/>
      </w:pPr>
      <w:r>
        <w:rPr>
          <w:sz w:val="20"/>
        </w:rPr>
      </w:r>
    </w:p>
    <w:p>
      <w:pPr>
        <w:pStyle w:val="0"/>
        <w:ind w:firstLine="540"/>
        <w:jc w:val="both"/>
      </w:pPr>
      <w:r>
        <w:rPr>
          <w:sz w:val="20"/>
        </w:rPr>
        <w:t xml:space="preserve">1. Утвердить </w:t>
      </w:r>
      <w:hyperlink w:history="0" w:anchor="P45" w:tooltip="ПРАВИЛА">
        <w:r>
          <w:rPr>
            <w:sz w:val="20"/>
            <w:color w:val="0000ff"/>
          </w:rPr>
          <w:t xml:space="preserve">Правила</w:t>
        </w:r>
      </w:hyperlink>
      <w:r>
        <w:rPr>
          <w:sz w:val="20"/>
        </w:rPr>
        <w:t xml:space="preserve"> предоставления иных межбюджетных трансфертов из областного бюджета бюджетам муниципальных образований Белгородской области в целях внедрения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(далее - иные межбюджетные трансферты), и методику их распределения (прилагаются).</w:t>
      </w:r>
    </w:p>
    <w:p>
      <w:pPr>
        <w:pStyle w:val="0"/>
        <w:jc w:val="both"/>
      </w:pPr>
      <w:r>
        <w:rPr>
          <w:sz w:val="20"/>
        </w:rPr>
      </w:r>
    </w:p>
    <w:p>
      <w:pPr>
        <w:pStyle w:val="0"/>
        <w:ind w:firstLine="540"/>
        <w:jc w:val="both"/>
      </w:pPr>
      <w:r>
        <w:rPr>
          <w:sz w:val="20"/>
        </w:rPr>
        <w:t xml:space="preserve">2. Министерству автомобильных дорог и транспорта Белгородской области (Евтушенко С.В.) обеспечивать целевое использование иных межбюджетных трансфертов.</w:t>
      </w:r>
    </w:p>
    <w:p>
      <w:pPr>
        <w:pStyle w:val="0"/>
        <w:jc w:val="both"/>
      </w:pPr>
      <w:r>
        <w:rPr>
          <w:sz w:val="20"/>
        </w:rPr>
        <w:t xml:space="preserve">(в ред. </w:t>
      </w:r>
      <w:hyperlink w:history="0" r:id="rId12"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rPr>
        <w:t xml:space="preserve"> Правительства Белгородской области от 06.06.2022 N 333-пп)</w:t>
      </w:r>
    </w:p>
    <w:p>
      <w:pPr>
        <w:pStyle w:val="0"/>
        <w:jc w:val="both"/>
      </w:pPr>
      <w:r>
        <w:rPr>
          <w:sz w:val="20"/>
        </w:rPr>
      </w:r>
    </w:p>
    <w:p>
      <w:pPr>
        <w:pStyle w:val="0"/>
        <w:ind w:firstLine="540"/>
        <w:jc w:val="both"/>
      </w:pPr>
      <w:r>
        <w:rPr>
          <w:sz w:val="20"/>
        </w:rPr>
        <w:t xml:space="preserve">3. Контроль за исполнением настоящего постановления возложить на заместителя Губернатора Белгородской области Базарова В.В., заместителя Губернатора Белгородской области - министра финансов и бюджетной политики Белгородской области Боровика В.Ф.</w:t>
      </w:r>
    </w:p>
    <w:p>
      <w:pPr>
        <w:pStyle w:val="0"/>
        <w:jc w:val="both"/>
      </w:pPr>
      <w:r>
        <w:rPr>
          <w:sz w:val="20"/>
        </w:rPr>
        <w:t xml:space="preserve">(п. 3 в ред. </w:t>
      </w:r>
      <w:hyperlink w:history="0" r:id="rId13"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rPr>
        <w:t xml:space="preserve"> Правительства Белгородской области от 06.06.2022 N 333-пп)</w:t>
      </w:r>
    </w:p>
    <w:p>
      <w:pPr>
        <w:pStyle w:val="0"/>
        <w:jc w:val="both"/>
      </w:pPr>
      <w:r>
        <w:rPr>
          <w:sz w:val="20"/>
        </w:rPr>
      </w:r>
    </w:p>
    <w:p>
      <w:pPr>
        <w:pStyle w:val="0"/>
        <w:ind w:firstLine="540"/>
        <w:jc w:val="both"/>
      </w:pPr>
      <w:r>
        <w:rPr>
          <w:sz w:val="20"/>
        </w:rPr>
        <w:t xml:space="preserve">4. Настоящее постановление вступает в силу со дня его официального опубликования и распространяется на правоотношения, возникшие с 1 января 2020 года.</w:t>
      </w:r>
    </w:p>
    <w:p>
      <w:pPr>
        <w:pStyle w:val="0"/>
        <w:jc w:val="both"/>
      </w:pPr>
      <w:r>
        <w:rPr>
          <w:sz w:val="20"/>
        </w:rPr>
      </w:r>
    </w:p>
    <w:p>
      <w:pPr>
        <w:pStyle w:val="0"/>
        <w:jc w:val="right"/>
      </w:pPr>
      <w:r>
        <w:rPr>
          <w:sz w:val="20"/>
        </w:rPr>
        <w:t xml:space="preserve">Временно исполняющий обязанности</w:t>
      </w:r>
    </w:p>
    <w:p>
      <w:pPr>
        <w:pStyle w:val="0"/>
        <w:jc w:val="right"/>
      </w:pPr>
      <w:r>
        <w:rPr>
          <w:sz w:val="20"/>
        </w:rPr>
        <w:t xml:space="preserve">Губернатора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Утверждены</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30 ноября 2020 г. N 504-пп</w:t>
      </w:r>
    </w:p>
    <w:p>
      <w:pPr>
        <w:pStyle w:val="0"/>
        <w:jc w:val="both"/>
      </w:pPr>
      <w:r>
        <w:rPr>
          <w:sz w:val="20"/>
        </w:rPr>
      </w:r>
    </w:p>
    <w:bookmarkStart w:id="45" w:name="P45"/>
    <w:bookmarkEnd w:id="45"/>
    <w:p>
      <w:pPr>
        <w:pStyle w:val="2"/>
        <w:jc w:val="center"/>
      </w:pPr>
      <w:r>
        <w:rPr>
          <w:sz w:val="20"/>
        </w:rPr>
        <w:t xml:space="preserve">ПРАВИЛА</w:t>
      </w:r>
    </w:p>
    <w:p>
      <w:pPr>
        <w:pStyle w:val="2"/>
        <w:jc w:val="center"/>
      </w:pPr>
      <w:r>
        <w:rPr>
          <w:sz w:val="20"/>
        </w:rPr>
        <w:t xml:space="preserve">ПРЕДОСТАВЛЕНИЯ ИНЫХ МЕЖБЮДЖЕТНЫХ ТРАНСФЕРТОВ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В ЦЕЛЯХ ВНЕДРЕНИЯ ИНТЕЛЛЕКТУАЛЬНЫХ ТРАНСПОРТНЫХ</w:t>
      </w:r>
    </w:p>
    <w:p>
      <w:pPr>
        <w:pStyle w:val="2"/>
        <w:jc w:val="center"/>
      </w:pPr>
      <w:r>
        <w:rPr>
          <w:sz w:val="20"/>
        </w:rPr>
        <w:t xml:space="preserve">СИСТЕМ, ПРЕДУСМАТРИВАЮЩИХ АВТОМАТИЗАЦИЮ ПРОЦЕССОВ УПРАВЛЕНИЯ</w:t>
      </w:r>
    </w:p>
    <w:p>
      <w:pPr>
        <w:pStyle w:val="2"/>
        <w:jc w:val="center"/>
      </w:pPr>
      <w:r>
        <w:rPr>
          <w:sz w:val="20"/>
        </w:rPr>
        <w:t xml:space="preserve">ДОРОЖНЫМ ДВИЖЕНИЕМ В ГОРОДСКИХ АГЛОМЕРАЦИЯХ, ВКЛЮЧАЮЩИХ</w:t>
      </w:r>
    </w:p>
    <w:p>
      <w:pPr>
        <w:pStyle w:val="2"/>
        <w:jc w:val="center"/>
      </w:pPr>
      <w:r>
        <w:rPr>
          <w:sz w:val="20"/>
        </w:rPr>
        <w:t xml:space="preserve">ГОРОДА С НАСЕЛЕНИЕМ СВЫШЕ 300 ТЫСЯЧ ЧЕЛОВЕК,</w:t>
      </w:r>
    </w:p>
    <w:p>
      <w:pPr>
        <w:pStyle w:val="2"/>
        <w:jc w:val="center"/>
      </w:pPr>
      <w:r>
        <w:rPr>
          <w:sz w:val="20"/>
        </w:rPr>
        <w:t xml:space="preserve">И МЕТОДИКА ИХ РАСПРЕДЕЛЕНИЯ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4"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06.06.2022 N 333-пп)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Правила предоставления иных межбюджетных трансфертов из областного бюджета бюджетам муниципальных образований Белгородской области в целях внедрения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 методика их распределения (далее - Правила) определяют условия и механизм предоставления, порядок определения размера и распределения иных межбюджетных трансфертов из областного бюджета, источником которых являются иные межбюджетные трансферты из федерального бюджета, бюджетам муниципальных образований Белгородской области в целях внедрения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регионального проекта "Общесистемные меры развития дорожного хозяйства" и государственной </w:t>
      </w:r>
      <w:hyperlink w:history="0" r:id="rId15" w:tooltip="Постановление Правительства Белгородской обл. от 28.10.2013 N 440-пп (ред. от 27.03.2023) &quot;Об утверждении государственной программы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программы</w:t>
        </w:r>
      </w:hyperlink>
      <w:r>
        <w:rPr>
          <w:sz w:val="20"/>
        </w:rPr>
        <w:t xml:space="preserve">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 (далее соответственно - региональный проект, программа, иные межбюджетные трансферты).</w:t>
      </w:r>
    </w:p>
    <w:p>
      <w:pPr>
        <w:pStyle w:val="0"/>
        <w:spacing w:before="200" w:line-rule="auto"/>
        <w:ind w:firstLine="540"/>
        <w:jc w:val="both"/>
      </w:pPr>
      <w:r>
        <w:rPr>
          <w:sz w:val="20"/>
        </w:rPr>
        <w:t xml:space="preserve">2. Для целей реализации Правил под городскими агломерациями понимаются территории городских округов или городских поселений и близлежащих к ним иных муниципальных образований, функционально объединяемых для усиления интенсивности хозяйственных, трудовых, транспортных, научно-образовательных, культурно-бытовых, рекреационных и иных связей в целях создания качественного пространства проживания и ведения хозяйственной деятельности, образованные городами с численностью населения свыше 300 тысяч человек по состоянию на 31 декабря 2017 года.</w:t>
      </w:r>
    </w:p>
    <w:bookmarkStart w:id="59" w:name="P59"/>
    <w:bookmarkEnd w:id="59"/>
    <w:p>
      <w:pPr>
        <w:pStyle w:val="0"/>
        <w:spacing w:before="200" w:line-rule="auto"/>
        <w:ind w:firstLine="540"/>
        <w:jc w:val="both"/>
      </w:pPr>
      <w:r>
        <w:rPr>
          <w:sz w:val="20"/>
        </w:rPr>
        <w:t xml:space="preserve">3. Иные межбюджетные трансферты предоставляются в целях софинансирования расходных обязательств муниципальных образований Белгородской области, возникающих при реализации мероприятий, направленных на достижение результатов регионального проекта, обеспечивающего достижение результата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 том числе модернизацию (развитие) таких систем, внедренных в городских агломерациях до 2020 года.</w:t>
      </w:r>
    </w:p>
    <w:p>
      <w:pPr>
        <w:pStyle w:val="0"/>
        <w:spacing w:before="200" w:line-rule="auto"/>
        <w:ind w:firstLine="540"/>
        <w:jc w:val="both"/>
      </w:pPr>
      <w:r>
        <w:rPr>
          <w:sz w:val="20"/>
        </w:rPr>
        <w:t xml:space="preserve">4. Иные межбюджетные трансферты предоставляются в пределах бюджетных ассигнований областного бюджета и лимитов бюджетных обязательств, доведенных до министерства автомобильных дорог и транспорта Белгородской области (далее - уполномоченный орган) как получателя средств областного бюджета на цели, указанные в </w:t>
      </w:r>
      <w:hyperlink w:history="0" w:anchor="P59" w:tooltip="3. Иные межбюджетные трансферты предоставляются в целях софинансирования расходных обязательств муниципальных образований Белгородской области, возникающих при реализации мероприятий, направленных на достижение результатов регионального проекта, обеспечивающего достижение результата &quot;Внедрение интеллектуальных транспортных систем, предусматривающих автоматизацию процессов управления дорожным движением в городских агломерациях&quot;, в том числе модернизацию (развитие) таких систем, внедренных в городских агло...">
        <w:r>
          <w:rPr>
            <w:sz w:val="20"/>
            <w:color w:val="0000ff"/>
          </w:rPr>
          <w:t xml:space="preserve">пункте 3</w:t>
        </w:r>
      </w:hyperlink>
      <w:r>
        <w:rPr>
          <w:sz w:val="20"/>
        </w:rPr>
        <w:t xml:space="preserve"> Правил.</w:t>
      </w:r>
    </w:p>
    <w:p>
      <w:pPr>
        <w:pStyle w:val="0"/>
        <w:jc w:val="both"/>
      </w:pPr>
      <w:r>
        <w:rPr>
          <w:sz w:val="20"/>
        </w:rPr>
        <w:t xml:space="preserve">(в ред. </w:t>
      </w:r>
      <w:hyperlink w:history="0" r:id="rId16" w:tooltip="Постановление Правительства Белгородской обл. от 06.06.2022 N 333-пп &quot;О внесении изменений в постановление Правительства Белгородской области от 30 ноября 2020 года N 504-пп&quot; {КонсультантПлюс}">
        <w:r>
          <w:rPr>
            <w:sz w:val="20"/>
            <w:color w:val="0000ff"/>
          </w:rPr>
          <w:t xml:space="preserve">постановления</w:t>
        </w:r>
      </w:hyperlink>
      <w:r>
        <w:rPr>
          <w:sz w:val="20"/>
        </w:rPr>
        <w:t xml:space="preserve"> Правительства Белгородской области от 06.06.2022 N 333-пп)</w:t>
      </w:r>
    </w:p>
    <w:p>
      <w:pPr>
        <w:pStyle w:val="0"/>
        <w:spacing w:before="200" w:line-rule="auto"/>
        <w:ind w:firstLine="540"/>
        <w:jc w:val="both"/>
      </w:pPr>
      <w:r>
        <w:rPr>
          <w:sz w:val="20"/>
        </w:rPr>
        <w:t xml:space="preserve">5. Характеристикой результата реализации регионального проекта является достижение показателей реализации регионального проекта, предусмотренных паспортом регионального проекта.</w:t>
      </w:r>
    </w:p>
    <w:p>
      <w:pPr>
        <w:pStyle w:val="0"/>
        <w:spacing w:before="200" w:line-rule="auto"/>
        <w:ind w:firstLine="540"/>
        <w:jc w:val="both"/>
      </w:pPr>
      <w:r>
        <w:rPr>
          <w:sz w:val="20"/>
        </w:rPr>
        <w:t xml:space="preserve">Оценка эффективности предоставления иных межбюджетных трансфертов осуществляется ответственным исполнителем проекта - областным государственным казенным учреждением "Управление дорожного хозяйства и транспорта Белгородской области" путем сравнения планового значения и фактического значения количественных показателей, характеризующих достижение результата регионального проекта и предусмотренных паспортом регионального проекта.</w:t>
      </w:r>
    </w:p>
    <w:p>
      <w:pPr>
        <w:pStyle w:val="0"/>
        <w:spacing w:before="200" w:line-rule="auto"/>
        <w:ind w:firstLine="540"/>
        <w:jc w:val="both"/>
      </w:pPr>
      <w:r>
        <w:rPr>
          <w:sz w:val="20"/>
        </w:rPr>
        <w:t xml:space="preserve">6. Распределение иных межбюджетных трансфертов между бюджетами муниципальных образований Белгородской области, входящих в городскую агломерацию, осуществляется в соответствии с объемом бюджетных ассигнований, утвержденных законом Белгородской области об областном бюджете на текущий финансовый год и плановый период.</w:t>
      </w:r>
    </w:p>
    <w:p>
      <w:pPr>
        <w:pStyle w:val="0"/>
        <w:spacing w:before="200" w:line-rule="auto"/>
        <w:ind w:firstLine="540"/>
        <w:jc w:val="both"/>
      </w:pPr>
      <w:r>
        <w:rPr>
          <w:sz w:val="20"/>
        </w:rPr>
        <w:t xml:space="preserve">7. Условием предоставления иных межбюджетных трансфертов является наличие в бюджете муниципального образования Белгородской области бюджетных ассигнований на исполнение расходного обязательства муниципального образования Белгородской области, которое осуществляется из областного бюджета за счет иных межбюджетных трансфертов, в объеме, необходимом для его исполнения, учитывающем размер иных межбюджетных трансфертов.</w:t>
      </w:r>
    </w:p>
    <w:p>
      <w:pPr>
        <w:pStyle w:val="0"/>
        <w:spacing w:before="200" w:line-rule="auto"/>
        <w:ind w:firstLine="540"/>
        <w:jc w:val="both"/>
      </w:pPr>
      <w:r>
        <w:rPr>
          <w:sz w:val="20"/>
        </w:rPr>
        <w:t xml:space="preserve">8. Предоставление иных межбюджетных трансфертов осуществляется на основании соглашения о предоставлении иного межбюджетного трансферта, имеющего целевое назначение, из бюджета Белгородской области бюджету муниципального образования, заключаемого уполномоченным органом и муниципальным образованием Белгородской области в форме электронного документа посредством государственной интегрированной информационной системы управления общественными финансами "Электронный бюджет" (далее - соглашение) в соответствии с </w:t>
      </w:r>
      <w:hyperlink w:history="0" r:id="rId17" w:tooltip="Приказ Минфина России от 14.12.2018 N 270н (ред. от 30.06.2022) &quot;Об утверждении Типовой формы соглашения о предоставлении иного межбюджетного трансферта, имеющего целевое назначение, из федерального бюджета бюджету субъекта Российской Федерации&quot; (Зарегистрировано в Минюсте России 21.01.2019 N 53461) {КонсультантПлюс}">
        <w:r>
          <w:rPr>
            <w:sz w:val="20"/>
            <w:color w:val="0000ff"/>
          </w:rPr>
          <w:t xml:space="preserve">Приказом</w:t>
        </w:r>
      </w:hyperlink>
      <w:r>
        <w:rPr>
          <w:sz w:val="20"/>
        </w:rPr>
        <w:t xml:space="preserve"> Минфина России от 14 декабря 2018 года N 270н.</w:t>
      </w:r>
    </w:p>
    <w:p>
      <w:pPr>
        <w:pStyle w:val="0"/>
        <w:spacing w:before="200" w:line-rule="auto"/>
        <w:ind w:firstLine="540"/>
        <w:jc w:val="both"/>
      </w:pPr>
      <w:r>
        <w:rPr>
          <w:sz w:val="20"/>
        </w:rPr>
        <w:t xml:space="preserve">9. В соглашении предусматриваются:</w:t>
      </w:r>
    </w:p>
    <w:p>
      <w:pPr>
        <w:pStyle w:val="0"/>
        <w:spacing w:before="200" w:line-rule="auto"/>
        <w:ind w:firstLine="540"/>
        <w:jc w:val="both"/>
      </w:pPr>
      <w:r>
        <w:rPr>
          <w:sz w:val="20"/>
        </w:rPr>
        <w:t xml:space="preserve">а) размер предоставляемых иных межбюджетных трансфертов, порядок, условия и сроки их перечисления в бюджет муниципального образования Белгородской области, а также объем бюджетных ассигнований на исполнение расходного обязательства муниципального образования, софинансирование которого из областного бюджета осуществляется за счет иных межбюджетных трансфертов, в объеме, необходимом для его исполнения, учитывающем размер иных межбюджетных трансфертов;</w:t>
      </w:r>
    </w:p>
    <w:p>
      <w:pPr>
        <w:pStyle w:val="0"/>
        <w:spacing w:before="200" w:line-rule="auto"/>
        <w:ind w:firstLine="540"/>
        <w:jc w:val="both"/>
      </w:pPr>
      <w:r>
        <w:rPr>
          <w:sz w:val="20"/>
        </w:rPr>
        <w:t xml:space="preserve">б) сроки и порядок представления в системе "Электронный бюджет" отчетности муниципального образования Белгородской области об осуществлении расходов и о достижении значений результатов предоставления иного межбюджетного трансферта, в целях софинансирования которых предоставляются иные межбюджетные трансферты;</w:t>
      </w:r>
    </w:p>
    <w:p>
      <w:pPr>
        <w:pStyle w:val="0"/>
        <w:spacing w:before="200" w:line-rule="auto"/>
        <w:ind w:firstLine="540"/>
        <w:jc w:val="both"/>
      </w:pPr>
      <w:r>
        <w:rPr>
          <w:sz w:val="20"/>
        </w:rPr>
        <w:t xml:space="preserve">в) обязательство муниципального образования Белгородской области по завершении выполнения указанных в </w:t>
      </w:r>
      <w:hyperlink w:history="0" w:anchor="P59" w:tooltip="3. Иные межбюджетные трансферты предоставляются в целях софинансирования расходных обязательств муниципальных образований Белгородской области, возникающих при реализации мероприятий, направленных на достижение результатов регионального проекта, обеспечивающего достижение результата &quot;Внедрение интеллектуальных транспортных систем, предусматривающих автоматизацию процессов управления дорожным движением в городских агломерациях&quot;, в том числе модернизацию (развитие) таких систем, внедренных в городских агло...">
        <w:r>
          <w:rPr>
            <w:sz w:val="20"/>
            <w:color w:val="0000ff"/>
          </w:rPr>
          <w:t xml:space="preserve">пункте 3</w:t>
        </w:r>
      </w:hyperlink>
      <w:r>
        <w:rPr>
          <w:sz w:val="20"/>
        </w:rPr>
        <w:t xml:space="preserve"> Правил мероприятий (в том числе по приемке выполнения соответствующих работ) до 31 декабря текущего года (за исключением работ, технологический цикл выполнения которых превышает указанный срок, а также случаев, если региональным проектом предусмотрен иной срок);</w:t>
      </w:r>
    </w:p>
    <w:p>
      <w:pPr>
        <w:pStyle w:val="0"/>
        <w:spacing w:before="200" w:line-rule="auto"/>
        <w:ind w:firstLine="540"/>
        <w:jc w:val="both"/>
      </w:pPr>
      <w:r>
        <w:rPr>
          <w:sz w:val="20"/>
        </w:rPr>
        <w:t xml:space="preserve">г) обязательство муниципального образования Белгородской области по обеспечению заключения контрактов на выполнение мероприятий, предусмотренных региональным проектом, в сроки, обеспечивающие своевременное достижение результатов регионального проекта;</w:t>
      </w:r>
    </w:p>
    <w:p>
      <w:pPr>
        <w:pStyle w:val="0"/>
        <w:spacing w:before="200" w:line-rule="auto"/>
        <w:ind w:firstLine="540"/>
        <w:jc w:val="both"/>
      </w:pPr>
      <w:r>
        <w:rPr>
          <w:sz w:val="20"/>
        </w:rPr>
        <w:t xml:space="preserve">д) обязательство муниципального образования Белгородской области по обеспечению достижения значений результатов регионального проекта;</w:t>
      </w:r>
    </w:p>
    <w:p>
      <w:pPr>
        <w:pStyle w:val="0"/>
        <w:spacing w:before="200" w:line-rule="auto"/>
        <w:ind w:firstLine="540"/>
        <w:jc w:val="both"/>
      </w:pPr>
      <w:r>
        <w:rPr>
          <w:sz w:val="20"/>
        </w:rPr>
        <w:t xml:space="preserve">е) обязательство муниципального образования Белгородской области по возврату средств в областной бюджет в порядке и случаях, предусмотренных </w:t>
      </w:r>
      <w:hyperlink w:history="0" w:anchor="P98" w:tooltip="16. В случае если муниципальным образованием Белгородской области по состоянию на 31 декабря текущего года не достигнуты установленные соглашением результаты реализации регионального проекта, до 1 мая года, следующего за годом предоставления иных межбюджетных трансфертов, из бюджета муниципального образования Белгородской области в областной бюджет подлежат возврату средства в размере, определяемом по формуле:">
        <w:r>
          <w:rPr>
            <w:sz w:val="20"/>
            <w:color w:val="0000ff"/>
          </w:rPr>
          <w:t xml:space="preserve">пунктом 16</w:t>
        </w:r>
      </w:hyperlink>
      <w:r>
        <w:rPr>
          <w:sz w:val="20"/>
        </w:rPr>
        <w:t xml:space="preserve"> Правил;</w:t>
      </w:r>
    </w:p>
    <w:p>
      <w:pPr>
        <w:pStyle w:val="0"/>
        <w:spacing w:before="200" w:line-rule="auto"/>
        <w:ind w:firstLine="540"/>
        <w:jc w:val="both"/>
      </w:pPr>
      <w:r>
        <w:rPr>
          <w:sz w:val="20"/>
        </w:rPr>
        <w:t xml:space="preserve">ж) ответственность сторон за нарушение условий соглашения;</w:t>
      </w:r>
    </w:p>
    <w:p>
      <w:pPr>
        <w:pStyle w:val="0"/>
        <w:spacing w:before="200" w:line-rule="auto"/>
        <w:ind w:firstLine="540"/>
        <w:jc w:val="both"/>
      </w:pPr>
      <w:r>
        <w:rPr>
          <w:sz w:val="20"/>
        </w:rPr>
        <w:t xml:space="preserve">з)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и) условие о вступлении в силу соглашения.</w:t>
      </w:r>
    </w:p>
    <w:p>
      <w:pPr>
        <w:pStyle w:val="0"/>
        <w:spacing w:before="200" w:line-rule="auto"/>
        <w:ind w:firstLine="540"/>
        <w:jc w:val="both"/>
      </w:pPr>
      <w:r>
        <w:rPr>
          <w:sz w:val="20"/>
        </w:rPr>
        <w:t xml:space="preserve">10. Уполномоченный орган имеет право на осуществление проведения проверок соблюдения условий и положений, установленных соглашением.</w:t>
      </w:r>
    </w:p>
    <w:p>
      <w:pPr>
        <w:pStyle w:val="0"/>
        <w:spacing w:before="200" w:line-rule="auto"/>
        <w:ind w:firstLine="540"/>
        <w:jc w:val="both"/>
      </w:pPr>
      <w:r>
        <w:rPr>
          <w:sz w:val="20"/>
        </w:rPr>
        <w:t xml:space="preserve">11. Областное государственное казенное учреждение "Управление дорожного хозяйства и транспорта Белгородской области" и муниципальные образования Белгородской области являются заказчиками по направлениям использования иных межбюджетных трансфертов на объектах программы (далее - заказчик).</w:t>
      </w:r>
    </w:p>
    <w:p>
      <w:pPr>
        <w:pStyle w:val="0"/>
        <w:spacing w:before="200" w:line-rule="auto"/>
        <w:ind w:firstLine="540"/>
        <w:jc w:val="both"/>
      </w:pPr>
      <w:r>
        <w:rPr>
          <w:sz w:val="20"/>
        </w:rPr>
        <w:t xml:space="preserve">12. Заказчик обеспечивает:</w:t>
      </w:r>
    </w:p>
    <w:p>
      <w:pPr>
        <w:pStyle w:val="0"/>
        <w:spacing w:before="200" w:line-rule="auto"/>
        <w:ind w:firstLine="540"/>
        <w:jc w:val="both"/>
      </w:pPr>
      <w:r>
        <w:rPr>
          <w:sz w:val="20"/>
        </w:rPr>
        <w:t xml:space="preserve">- контроль за соблюдением сроков выполнения работ в соответствии с графиком производства работ, качеством выполняемых работ, применяемых дорожно-строительных материалов, конструкций и изделий на объектах программы;</w:t>
      </w:r>
    </w:p>
    <w:p>
      <w:pPr>
        <w:pStyle w:val="0"/>
        <w:spacing w:before="200" w:line-rule="auto"/>
        <w:ind w:firstLine="540"/>
        <w:jc w:val="both"/>
      </w:pPr>
      <w:r>
        <w:rPr>
          <w:sz w:val="20"/>
        </w:rPr>
        <w:t xml:space="preserve">- приемку выполненных работ на объектах программы в соответствии с утвержденной проектно-сметной документацией, учет объемов и стоимости выполненных и оплаченных работ.</w:t>
      </w:r>
    </w:p>
    <w:bookmarkStart w:id="82" w:name="P82"/>
    <w:bookmarkEnd w:id="82"/>
    <w:p>
      <w:pPr>
        <w:pStyle w:val="0"/>
        <w:spacing w:before="200" w:line-rule="auto"/>
        <w:ind w:firstLine="540"/>
        <w:jc w:val="both"/>
      </w:pPr>
      <w:r>
        <w:rPr>
          <w:sz w:val="20"/>
        </w:rPr>
        <w:t xml:space="preserve">13. Заказчик не позднее 23 числа текущего месяца после приемки выполненных работ представляет в уполномоченный орган следующие документы:</w:t>
      </w:r>
    </w:p>
    <w:p>
      <w:pPr>
        <w:pStyle w:val="0"/>
        <w:spacing w:before="200" w:line-rule="auto"/>
        <w:ind w:firstLine="540"/>
        <w:jc w:val="both"/>
      </w:pPr>
      <w:r>
        <w:rPr>
          <w:sz w:val="20"/>
        </w:rPr>
        <w:t xml:space="preserve">а) проектную документацию, утвержденную в установленном порядке, имеющую положительное заключение государственной экспертизы проектной документации и результатов инженерных изысканий, если проведение такой экспертизы предусмотрено законодательством Российской Федерации;</w:t>
      </w:r>
    </w:p>
    <w:p>
      <w:pPr>
        <w:pStyle w:val="0"/>
        <w:spacing w:before="200" w:line-rule="auto"/>
        <w:ind w:firstLine="540"/>
        <w:jc w:val="both"/>
      </w:pPr>
      <w:r>
        <w:rPr>
          <w:sz w:val="20"/>
        </w:rPr>
        <w:t xml:space="preserve">б) копию заключенного по результатам аукциона (конкурса) государственного контракта с приложениями;</w:t>
      </w:r>
    </w:p>
    <w:p>
      <w:pPr>
        <w:pStyle w:val="0"/>
        <w:spacing w:before="200" w:line-rule="auto"/>
        <w:ind w:firstLine="540"/>
        <w:jc w:val="both"/>
      </w:pPr>
      <w:r>
        <w:rPr>
          <w:sz w:val="20"/>
        </w:rPr>
        <w:t xml:space="preserve">в) заверенную в установленном порядке копию сводного сметного расчета;</w:t>
      </w:r>
    </w:p>
    <w:p>
      <w:pPr>
        <w:pStyle w:val="0"/>
        <w:spacing w:before="200" w:line-rule="auto"/>
        <w:ind w:firstLine="540"/>
        <w:jc w:val="both"/>
      </w:pPr>
      <w:r>
        <w:rPr>
          <w:sz w:val="20"/>
        </w:rPr>
        <w:t xml:space="preserve">г) акт о приемке выполненных работ (форма N КС-2), справку о стоимости выполненных работ (оказанных услуг) (форма N КС-3) по формам, утвержденным Федеральной службой государственной статистики;</w:t>
      </w:r>
    </w:p>
    <w:p>
      <w:pPr>
        <w:pStyle w:val="0"/>
        <w:spacing w:before="200" w:line-rule="auto"/>
        <w:ind w:firstLine="540"/>
        <w:jc w:val="both"/>
      </w:pPr>
      <w:r>
        <w:rPr>
          <w:sz w:val="20"/>
        </w:rPr>
        <w:t xml:space="preserve">д) заявку на финансирование расходов.</w:t>
      </w:r>
    </w:p>
    <w:p>
      <w:pPr>
        <w:pStyle w:val="0"/>
        <w:spacing w:before="200" w:line-rule="auto"/>
        <w:ind w:firstLine="540"/>
        <w:jc w:val="both"/>
      </w:pPr>
      <w:r>
        <w:rPr>
          <w:sz w:val="20"/>
        </w:rPr>
        <w:t xml:space="preserve">14. Уполномоченный орган в течение 5 (пяти) рабочих дней с даты передачи заказчиком документов, указанных в </w:t>
      </w:r>
      <w:hyperlink w:history="0" w:anchor="P82" w:tooltip="13. Заказчик не позднее 23 числа текущего месяца после приемки выполненных работ представляет в уполномоченный орган следующие документы:">
        <w:r>
          <w:rPr>
            <w:sz w:val="20"/>
            <w:color w:val="0000ff"/>
          </w:rPr>
          <w:t xml:space="preserve">пункте 13</w:t>
        </w:r>
      </w:hyperlink>
      <w:r>
        <w:rPr>
          <w:sz w:val="20"/>
        </w:rPr>
        <w:t xml:space="preserve"> Правил, осуществляет их проверку и определяет размер межбюджетных трансфертов по формуле:</w:t>
      </w:r>
    </w:p>
    <w:p>
      <w:pPr>
        <w:pStyle w:val="0"/>
        <w:ind w:firstLine="540"/>
        <w:jc w:val="both"/>
      </w:pPr>
      <w:r>
        <w:rPr>
          <w:sz w:val="20"/>
        </w:rPr>
      </w:r>
    </w:p>
    <w:p>
      <w:pPr>
        <w:pStyle w:val="0"/>
        <w:ind w:firstLine="540"/>
        <w:jc w:val="both"/>
      </w:pPr>
      <w:r>
        <w:rPr>
          <w:sz w:val="20"/>
        </w:rPr>
        <w:t xml:space="preserve">Рiф = Рiобщ. - Рiс. - Рiм,</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Рiф - размер иного межбюджетного трансферта, предоставляемого бюджету i-го муниципального образования за счет средств федерального бюджета на финансовое обеспечение дорожной деятельности на реализацию мероприятий, указанных в </w:t>
      </w:r>
      <w:hyperlink w:history="0" w:anchor="P59" w:tooltip="3. Иные межбюджетные трансферты предоставляются в целях софинансирования расходных обязательств муниципальных образований Белгородской области, возникающих при реализации мероприятий, направленных на достижение результатов регионального проекта, обеспечивающего достижение результата &quot;Внедрение интеллектуальных транспортных систем, предусматривающих автоматизацию процессов управления дорожным движением в городских агломерациях&quot;, в том числе модернизацию (развитие) таких систем, внедренных в городских агло...">
        <w:r>
          <w:rPr>
            <w:sz w:val="20"/>
            <w:color w:val="0000ff"/>
          </w:rPr>
          <w:t xml:space="preserve">пункте 3</w:t>
        </w:r>
      </w:hyperlink>
      <w:r>
        <w:rPr>
          <w:sz w:val="20"/>
        </w:rPr>
        <w:t xml:space="preserve"> Правил, на соответствующий финансовый год;</w:t>
      </w:r>
    </w:p>
    <w:p>
      <w:pPr>
        <w:pStyle w:val="0"/>
        <w:spacing w:before="200" w:line-rule="auto"/>
        <w:ind w:firstLine="540"/>
        <w:jc w:val="both"/>
      </w:pPr>
      <w:r>
        <w:rPr>
          <w:sz w:val="20"/>
        </w:rPr>
        <w:t xml:space="preserve">Рiобщ. - общая потребность финансовых средств, необходимых i-му муниципальному образованию на реализацию мероприятий, указанных в пункте 3 Правил, на соответствующий финансовый год;</w:t>
      </w:r>
    </w:p>
    <w:p>
      <w:pPr>
        <w:pStyle w:val="0"/>
        <w:spacing w:before="200" w:line-rule="auto"/>
        <w:ind w:firstLine="540"/>
        <w:jc w:val="both"/>
      </w:pPr>
      <w:r>
        <w:rPr>
          <w:sz w:val="20"/>
        </w:rPr>
        <w:t xml:space="preserve">Рiс. - объем иных межбюджетных трансфертов, предоставляемых из областного бюджета бюджету i-го муниципального образования на реализацию мероприятий, указанных в пункте 3 Правил, на соответствующий финансовый год;</w:t>
      </w:r>
    </w:p>
    <w:p>
      <w:pPr>
        <w:pStyle w:val="0"/>
        <w:spacing w:before="200" w:line-rule="auto"/>
        <w:ind w:firstLine="540"/>
        <w:jc w:val="both"/>
      </w:pPr>
      <w:r>
        <w:rPr>
          <w:sz w:val="20"/>
        </w:rPr>
        <w:t xml:space="preserve">Рiм - объем бюджетных ассигнований, предусмотренных в бюджете i-го муниципального образования на реализацию мероприятий, указанных в пункте 3 Правил, на соответствующий финансовый год.</w:t>
      </w:r>
    </w:p>
    <w:p>
      <w:pPr>
        <w:pStyle w:val="0"/>
        <w:spacing w:before="200" w:line-rule="auto"/>
        <w:ind w:firstLine="540"/>
        <w:jc w:val="both"/>
      </w:pPr>
      <w:r>
        <w:rPr>
          <w:sz w:val="20"/>
        </w:rPr>
        <w:t xml:space="preserve">15. Перечисление иных межбюджетных трансфертов бюджетам муниципальных образований Белгородской области осуществляется на счета, открытые территориальным органом Федерального казначейства в учреждении Центрального банка Российской Федерации для учета операций со средствами муниципальных образований Белгородской области.</w:t>
      </w:r>
    </w:p>
    <w:bookmarkStart w:id="98" w:name="P98"/>
    <w:bookmarkEnd w:id="98"/>
    <w:p>
      <w:pPr>
        <w:pStyle w:val="0"/>
        <w:spacing w:before="200" w:line-rule="auto"/>
        <w:ind w:firstLine="540"/>
        <w:jc w:val="both"/>
      </w:pPr>
      <w:r>
        <w:rPr>
          <w:sz w:val="20"/>
        </w:rPr>
        <w:t xml:space="preserve">16. В случае если муниципальным образованием Белгородской области по состоянию на 31 декабря текущего года не достигнуты установленные соглашением результаты реализации регионального проекта, до 1 мая года, следующего за годом предоставления иных межбюджетных трансфертов, из бюджета муниципального образования Белгородской области в областной бюджет подлежат возврату средства в размере, определяемом по формуле:</w:t>
      </w:r>
    </w:p>
    <w:p>
      <w:pPr>
        <w:pStyle w:val="0"/>
        <w:ind w:firstLine="540"/>
        <w:jc w:val="both"/>
      </w:pPr>
      <w:r>
        <w:rPr>
          <w:sz w:val="20"/>
        </w:rPr>
      </w:r>
    </w:p>
    <w:p>
      <w:pPr>
        <w:pStyle w:val="0"/>
        <w:jc w:val="center"/>
      </w:pPr>
      <w:r>
        <w:rPr>
          <w:position w:val="-10"/>
        </w:rPr>
        <w:drawing>
          <wp:inline distT="0" distB="0" distL="0" distR="0">
            <wp:extent cx="172402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1724025" cy="25717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возврата</w:t>
      </w:r>
      <w:r>
        <w:rPr>
          <w:sz w:val="20"/>
        </w:rPr>
        <w:t xml:space="preserve"> - средства, подлежащие возврату в областной бюджет;</w:t>
      </w:r>
    </w:p>
    <w:p>
      <w:pPr>
        <w:pStyle w:val="0"/>
        <w:spacing w:before="200" w:line-rule="auto"/>
        <w:ind w:firstLine="540"/>
        <w:jc w:val="both"/>
      </w:pPr>
      <w:r>
        <w:rPr>
          <w:sz w:val="20"/>
        </w:rPr>
        <w:t xml:space="preserve">V</w:t>
      </w:r>
      <w:r>
        <w:rPr>
          <w:sz w:val="20"/>
          <w:vertAlign w:val="subscript"/>
        </w:rPr>
        <w:t xml:space="preserve">имбт</w:t>
      </w:r>
      <w:r>
        <w:rPr>
          <w:sz w:val="20"/>
        </w:rPr>
        <w:t xml:space="preserve"> - размер иных межбюджетных трансфертов, фактически предоставленных в отчетном финансовом году.</w:t>
      </w:r>
    </w:p>
    <w:p>
      <w:pPr>
        <w:pStyle w:val="0"/>
        <w:spacing w:before="200" w:line-rule="auto"/>
        <w:ind w:firstLine="540"/>
        <w:jc w:val="both"/>
      </w:pPr>
      <w:r>
        <w:rPr>
          <w:sz w:val="20"/>
        </w:rPr>
        <w:t xml:space="preserve">При расчете размера средств, подлежащих возврату из бюджета муниципального образования Белгородской области в областной бюджет, в размере иных межбюджетных трансфертов, предоставленных бюджету муниципального образования Белгородской области в отчетном финансовом году, не учитывается размер остатка иных межбюджетных трансфертов, не использованных по состоянию на 1 января текущего финансового года;</w:t>
      </w:r>
    </w:p>
    <w:p>
      <w:pPr>
        <w:pStyle w:val="0"/>
        <w:spacing w:before="200" w:line-rule="auto"/>
        <w:ind w:firstLine="540"/>
        <w:jc w:val="both"/>
      </w:pPr>
      <w:r>
        <w:rPr>
          <w:position w:val="-11"/>
        </w:rPr>
        <w:drawing>
          <wp:inline distT="0" distB="0" distL="0" distR="0">
            <wp:extent cx="381000" cy="266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Pr>
          <w:sz w:val="20"/>
        </w:rPr>
        <w:t xml:space="preserve"> - суммарное значение индексов Di, отражающих уровень недостижения i-го показателя реализации регионального проекта, имеющих значение больше нуля;</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реализации регионального проекта;</w:t>
      </w:r>
    </w:p>
    <w:p>
      <w:pPr>
        <w:pStyle w:val="0"/>
        <w:spacing w:before="200" w:line-rule="auto"/>
        <w:ind w:firstLine="540"/>
        <w:jc w:val="both"/>
      </w:pPr>
      <w:r>
        <w:rPr>
          <w:sz w:val="20"/>
        </w:rPr>
        <w:t xml:space="preserve">n - общее количество показателей реализации регионального проекта, принимаемое равным количеству показателей реализации федерального проекта;</w:t>
      </w:r>
    </w:p>
    <w:p>
      <w:pPr>
        <w:pStyle w:val="0"/>
        <w:spacing w:before="200" w:line-rule="auto"/>
        <w:ind w:firstLine="540"/>
        <w:jc w:val="both"/>
      </w:pPr>
      <w:r>
        <w:rPr>
          <w:sz w:val="20"/>
        </w:rPr>
        <w:t xml:space="preserve">k - коэффициент, равный 0,1.</w:t>
      </w:r>
    </w:p>
    <w:p>
      <w:pPr>
        <w:pStyle w:val="0"/>
        <w:spacing w:before="200" w:line-rule="auto"/>
        <w:ind w:firstLine="540"/>
        <w:jc w:val="both"/>
      </w:pPr>
      <w:r>
        <w:rPr>
          <w:sz w:val="20"/>
        </w:rPr>
        <w:t xml:space="preserve">17. Индекс, отражающий уровень недостижения i-го показателя реализации регионального проекта, определяется:</w:t>
      </w:r>
    </w:p>
    <w:p>
      <w:pPr>
        <w:pStyle w:val="0"/>
        <w:spacing w:before="200" w:line-rule="auto"/>
        <w:ind w:firstLine="540"/>
        <w:jc w:val="both"/>
      </w:pPr>
      <w:r>
        <w:rPr>
          <w:sz w:val="20"/>
        </w:rPr>
        <w:t xml:space="preserve">а) для показателей реализации регионального проекта, предусматривающих их рост в процессе реализации регионального проекта, по формуле:</w:t>
      </w:r>
    </w:p>
    <w:p>
      <w:pPr>
        <w:pStyle w:val="0"/>
        <w:ind w:firstLine="540"/>
        <w:jc w:val="both"/>
      </w:pPr>
      <w:r>
        <w:rPr>
          <w:sz w:val="20"/>
        </w:rPr>
      </w:r>
    </w:p>
    <w:p>
      <w:pPr>
        <w:pStyle w:val="0"/>
        <w:jc w:val="center"/>
      </w:pPr>
      <w:r>
        <w:rPr>
          <w:sz w:val="20"/>
        </w:rPr>
        <w:t xml:space="preserve">Di = 1 - Ti / Si,</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реализации регионального проекта;</w:t>
      </w:r>
    </w:p>
    <w:p>
      <w:pPr>
        <w:pStyle w:val="0"/>
        <w:spacing w:before="200" w:line-rule="auto"/>
        <w:ind w:firstLine="540"/>
        <w:jc w:val="both"/>
      </w:pPr>
      <w:r>
        <w:rPr>
          <w:sz w:val="20"/>
        </w:rPr>
        <w:t xml:space="preserve">Ti - фактически достигнутое значение i-го показателя реализации регионального проекта на отчетную дату;</w:t>
      </w:r>
    </w:p>
    <w:p>
      <w:pPr>
        <w:pStyle w:val="0"/>
        <w:spacing w:before="200" w:line-rule="auto"/>
        <w:ind w:firstLine="540"/>
        <w:jc w:val="both"/>
      </w:pPr>
      <w:r>
        <w:rPr>
          <w:sz w:val="20"/>
        </w:rPr>
        <w:t xml:space="preserve">Si - плановое значение i-го показателя реализации регионального проекта, установленное соглашением;</w:t>
      </w:r>
    </w:p>
    <w:p>
      <w:pPr>
        <w:pStyle w:val="0"/>
        <w:spacing w:before="200" w:line-rule="auto"/>
        <w:ind w:firstLine="540"/>
        <w:jc w:val="both"/>
      </w:pPr>
      <w:r>
        <w:rPr>
          <w:sz w:val="20"/>
        </w:rPr>
        <w:t xml:space="preserve">б) для показателей реализации регионального проекта, предусматривающих снижение их значений в процессе реализации регионального проекта, по формуле:</w:t>
      </w:r>
    </w:p>
    <w:p>
      <w:pPr>
        <w:pStyle w:val="0"/>
        <w:ind w:firstLine="540"/>
        <w:jc w:val="both"/>
      </w:pPr>
      <w:r>
        <w:rPr>
          <w:sz w:val="20"/>
        </w:rPr>
      </w:r>
    </w:p>
    <w:p>
      <w:pPr>
        <w:pStyle w:val="0"/>
        <w:jc w:val="center"/>
      </w:pPr>
      <w:r>
        <w:rPr>
          <w:sz w:val="20"/>
        </w:rPr>
        <w:t xml:space="preserve">Di = 1 - Si / Ti,</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реализации регионального проекта;</w:t>
      </w:r>
    </w:p>
    <w:p>
      <w:pPr>
        <w:pStyle w:val="0"/>
        <w:spacing w:before="200" w:line-rule="auto"/>
        <w:ind w:firstLine="540"/>
        <w:jc w:val="both"/>
      </w:pPr>
      <w:r>
        <w:rPr>
          <w:sz w:val="20"/>
        </w:rPr>
        <w:t xml:space="preserve">Si - плановое значение i-го показателя реализации регионального проекта, установленное соглашением;</w:t>
      </w:r>
    </w:p>
    <w:p>
      <w:pPr>
        <w:pStyle w:val="0"/>
        <w:spacing w:before="200" w:line-rule="auto"/>
        <w:ind w:firstLine="540"/>
        <w:jc w:val="both"/>
      </w:pPr>
      <w:r>
        <w:rPr>
          <w:sz w:val="20"/>
        </w:rPr>
        <w:t xml:space="preserve">Ti - фактически достигнутое значение i-го показателя реализации регионального проекта на отчетную дату.</w:t>
      </w:r>
    </w:p>
    <w:p>
      <w:pPr>
        <w:pStyle w:val="0"/>
        <w:spacing w:before="200" w:line-rule="auto"/>
        <w:ind w:firstLine="540"/>
        <w:jc w:val="both"/>
      </w:pPr>
      <w:r>
        <w:rPr>
          <w:sz w:val="20"/>
        </w:rPr>
        <w:t xml:space="preserve">18. Возврат средств из бюджетов муниципальных образований Белгородской области в областной бюджет в соответствии с </w:t>
      </w:r>
      <w:hyperlink w:history="0" w:anchor="P98" w:tooltip="16. В случае если муниципальным образованием Белгородской области по состоянию на 31 декабря текущего года не достигнуты установленные соглашением результаты реализации регионального проекта, до 1 мая года, следующего за годом предоставления иных межбюджетных трансфертов, из бюджета муниципального образования Белгородской области в областной бюджет подлежат возврату средства в размере, определяемом по формуле:">
        <w:r>
          <w:rPr>
            <w:sz w:val="20"/>
            <w:color w:val="0000ff"/>
          </w:rPr>
          <w:t xml:space="preserve">пунктом 16</w:t>
        </w:r>
      </w:hyperlink>
      <w:r>
        <w:rPr>
          <w:sz w:val="20"/>
        </w:rPr>
        <w:t xml:space="preserve"> Правил осуществляется по предложению уполномоченного органа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19. Ответственность за достоверность представляемых в уполномоченный орган информации и документов, указанных в соглашении, возлагается на муниципальное образование Белгородской области, а также на областное государственное казенное учреждение "Управление дорожного хозяйства и транспорта Белгородской области".</w:t>
      </w:r>
    </w:p>
    <w:p>
      <w:pPr>
        <w:pStyle w:val="0"/>
        <w:spacing w:before="200" w:line-rule="auto"/>
        <w:ind w:firstLine="540"/>
        <w:jc w:val="both"/>
      </w:pPr>
      <w:r>
        <w:rPr>
          <w:sz w:val="20"/>
        </w:rPr>
        <w:t xml:space="preserve">20. В случае несоблюдения муниципальным образованием Белгородской области условий предоставления иных межбюджетных трансфертов, установленных соглашением и Правилами, к нему применяются меры, предусмотренные бюджетным законодательством Российской Федерации.</w:t>
      </w:r>
    </w:p>
    <w:p>
      <w:pPr>
        <w:pStyle w:val="0"/>
        <w:spacing w:before="200" w:line-rule="auto"/>
        <w:ind w:firstLine="540"/>
        <w:jc w:val="both"/>
      </w:pPr>
      <w:r>
        <w:rPr>
          <w:sz w:val="20"/>
        </w:rPr>
        <w:t xml:space="preserve">21. Основанием для освобождения муниципального образования Белгородской области от применения мер ответственности, предусмотренных </w:t>
      </w:r>
      <w:hyperlink w:history="0" w:anchor="P98" w:tooltip="16. В случае если муниципальным образованием Белгородской области по состоянию на 31 декабря текущего года не достигнуты установленные соглашением результаты реализации регионального проекта, до 1 мая года, следующего за годом предоставления иных межбюджетных трансфертов, из бюджета муниципального образования Белгородской области в областной бюджет подлежат возврату средства в размере, определяемом по формуле:">
        <w:r>
          <w:rPr>
            <w:sz w:val="20"/>
            <w:color w:val="0000ff"/>
          </w:rPr>
          <w:t xml:space="preserve">пунктом 16</w:t>
        </w:r>
      </w:hyperlink>
      <w:r>
        <w:rPr>
          <w:sz w:val="20"/>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22. Контроль за осуществлением расходов, источником финансового обеспечения которых являются иные межбюджетные трансферты, осуществляет уполномоченный орган.</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30.11.2020 N 504-пп</w:t>
            <w:br/>
            <w:t>(ред. от 06.06.2022)</w:t>
            <w:br/>
            <w:t>"Об утверждении Правил предост...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234925B71FE5E2CE45D81221A24A7EF4971662BEAE54008B396B78B9A8DED63812AEAC0CCC56B60B00F8ABB1244F7A85A3FB9A3EC65F4D2657462A03WFJ" TargetMode = "External"/>
	<Relationship Id="rId8" Type="http://schemas.openxmlformats.org/officeDocument/2006/relationships/hyperlink" Target="consultantplus://offline/ref=234925B71FE5E2CE45D80C2CB42624F9971938B4AE5302DB613423E4FFD7DC6F55E1F54A8F58B60054A9EFE1221A23DFF6F38534D85D04WBJ" TargetMode = "External"/>
	<Relationship Id="rId9" Type="http://schemas.openxmlformats.org/officeDocument/2006/relationships/hyperlink" Target="consultantplus://offline/ref=234925B71FE5E2CE45D80C2CB42624F9971D39BAA75602DB613423E4FFD7DC6F47E1AD428953A90B05E6A9B42D01W8J" TargetMode = "External"/>
	<Relationship Id="rId10" Type="http://schemas.openxmlformats.org/officeDocument/2006/relationships/hyperlink" Target="consultantplus://offline/ref=234925B71FE5E2CE45D81221A24A7EF4971662BEAE560C893A6B78B9A8DED63812AEAC0CCC56B60B00F9AFB7244F7A85A3FB9A3EC65F4D2657462A03WFJ" TargetMode = "External"/>
	<Relationship Id="rId11" Type="http://schemas.openxmlformats.org/officeDocument/2006/relationships/hyperlink" Target="consultantplus://offline/ref=234925B71FE5E2CE45D81221A24A7EF4971662BEAE54008B396B78B9A8DED63812AEAC0CCC56B60B00F8ABB2244F7A85A3FB9A3EC65F4D2657462A03WFJ" TargetMode = "External"/>
	<Relationship Id="rId12" Type="http://schemas.openxmlformats.org/officeDocument/2006/relationships/hyperlink" Target="consultantplus://offline/ref=234925B71FE5E2CE45D81221A24A7EF4971662BEAE54008B396B78B9A8DED63812AEAC0CCC56B60B00F8ABB3244F7A85A3FB9A3EC65F4D2657462A03WFJ" TargetMode = "External"/>
	<Relationship Id="rId13" Type="http://schemas.openxmlformats.org/officeDocument/2006/relationships/hyperlink" Target="consultantplus://offline/ref=234925B71FE5E2CE45D81221A24A7EF4971662BEAE54008B396B78B9A8DED63812AEAC0CCC56B60B00F8ABBC244F7A85A3FB9A3EC65F4D2657462A03WFJ" TargetMode = "External"/>
	<Relationship Id="rId14" Type="http://schemas.openxmlformats.org/officeDocument/2006/relationships/hyperlink" Target="consultantplus://offline/ref=234925B71FE5E2CE45D81221A24A7EF4971662BEAE54008B396B78B9A8DED63812AEAC0CCC56B60B00F8AAB4244F7A85A3FB9A3EC65F4D2657462A03WFJ" TargetMode = "External"/>
	<Relationship Id="rId15" Type="http://schemas.openxmlformats.org/officeDocument/2006/relationships/hyperlink" Target="consultantplus://offline/ref=234925B71FE5E2CE45D81221A24A7EF4971662BEAF5301853B6B78B9A8DED63812AEAC0CCC56B50C07FAA2B5244F7A85A3FB9A3EC65F4D2657462A03WFJ" TargetMode = "External"/>
	<Relationship Id="rId16" Type="http://schemas.openxmlformats.org/officeDocument/2006/relationships/hyperlink" Target="consultantplus://offline/ref=234925B71FE5E2CE45D81221A24A7EF4971662BEAE54008B396B78B9A8DED63812AEAC0CCC56B60B00F8AAB5244F7A85A3FB9A3EC65F4D2657462A03WFJ" TargetMode = "External"/>
	<Relationship Id="rId17" Type="http://schemas.openxmlformats.org/officeDocument/2006/relationships/hyperlink" Target="consultantplus://offline/ref=234925B71FE5E2CE45D80C2CB42624F9971F3BB3A35102DB613423E4FFD7DC6F47E1AD428953A90B05E6A9B42D01W8J" TargetMode = "External"/>
	<Relationship Id="rId18" Type="http://schemas.openxmlformats.org/officeDocument/2006/relationships/image" Target="media/image2.wmf"/>
	<Relationship Id="rId19" Type="http://schemas.openxmlformats.org/officeDocument/2006/relationships/image" Target="media/image3.wmf"/>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30.11.2020 N 504-пп
(ред. от 06.06.2022)
"Об утверждении Правил предоставления иных межбюджетных трансфертов из областного бюджета бюджетам муниципальных образований Белгородской области в целях внедрения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 методики их распределения"</dc:title>
  <dcterms:created xsi:type="dcterms:W3CDTF">2023-05-18T09:22:52Z</dcterms:created>
</cp:coreProperties>
</file>